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7F30" w14:textId="77777777" w:rsidR="004C78FB" w:rsidRPr="0064206C" w:rsidRDefault="00012DDD" w:rsidP="00012DDD">
      <w:pPr>
        <w:numPr>
          <w:ilvl w:val="0"/>
          <w:numId w:val="11"/>
        </w:numPr>
        <w:snapToGrid w:val="0"/>
        <w:spacing w:beforeLines="20" w:before="72" w:line="360" w:lineRule="auto"/>
        <w:rPr>
          <w:rFonts w:eastAsia="標楷體"/>
          <w:shd w:val="pct15" w:color="auto" w:fill="FFFFFF"/>
        </w:rPr>
      </w:pPr>
      <w:r w:rsidRPr="0064206C">
        <w:rPr>
          <w:rFonts w:eastAsia="標楷體"/>
          <w:b/>
          <w:bCs/>
          <w:shd w:val="pct15" w:color="auto" w:fill="FFFFFF"/>
        </w:rPr>
        <w:t>E</w:t>
      </w:r>
      <w:r w:rsidRPr="0064206C">
        <w:rPr>
          <w:rFonts w:eastAsia="標楷體" w:hint="eastAsia"/>
          <w:b/>
          <w:bCs/>
          <w:shd w:val="pct15" w:color="auto" w:fill="FFFFFF"/>
        </w:rPr>
        <w:t>n</w:t>
      </w:r>
      <w:r w:rsidRPr="0064206C">
        <w:rPr>
          <w:rFonts w:eastAsia="標楷體"/>
          <w:b/>
          <w:bCs/>
          <w:shd w:val="pct15" w:color="auto" w:fill="FFFFFF"/>
        </w:rPr>
        <w:t>glish form</w:t>
      </w:r>
    </w:p>
    <w:p w14:paraId="0DA22118" w14:textId="77777777" w:rsidR="00AC3CF5" w:rsidRPr="004C78FB" w:rsidRDefault="00AC3CF5" w:rsidP="00AC3CF5">
      <w:pPr>
        <w:jc w:val="center"/>
      </w:pPr>
      <w:r w:rsidRPr="004C78FB">
        <w:t>Absolute Tc99m Activity Quantitation in Cardiac Phantom Using A Commercialized</w:t>
      </w:r>
    </w:p>
    <w:p w14:paraId="1FDC423A" w14:textId="77777777" w:rsidR="00AC3CF5" w:rsidRPr="004C78FB" w:rsidRDefault="00AC3CF5" w:rsidP="00AC3CF5">
      <w:pPr>
        <w:jc w:val="center"/>
      </w:pPr>
      <w:r w:rsidRPr="004C78FB">
        <w:t>SPECT/CT Scanner Capable of Rapid Multiple-phase Dynamic Acquisition</w:t>
      </w:r>
    </w:p>
    <w:p w14:paraId="5FE580DD" w14:textId="77777777" w:rsidR="00AC3CF5" w:rsidRPr="004C78FB" w:rsidRDefault="00AC3CF5" w:rsidP="00AC3CF5">
      <w:pPr>
        <w:jc w:val="center"/>
      </w:pPr>
    </w:p>
    <w:p w14:paraId="028D774E" w14:textId="77777777" w:rsidR="00AC3CF5" w:rsidRPr="004C78FB" w:rsidRDefault="00AC3CF5" w:rsidP="00AC3CF5">
      <w:pPr>
        <w:spacing w:after="240"/>
        <w:jc w:val="center"/>
      </w:pPr>
      <w:r w:rsidRPr="004C78FB">
        <w:rPr>
          <w:vertAlign w:val="superscript"/>
        </w:rPr>
        <w:t>1</w:t>
      </w:r>
      <w:r w:rsidRPr="004C78FB">
        <w:rPr>
          <w:lang w:val="de-DE"/>
        </w:rPr>
        <w:t>Bailing Hsu,</w:t>
      </w:r>
      <w:r w:rsidRPr="004C78FB">
        <w:rPr>
          <w:vertAlign w:val="superscript"/>
          <w:lang w:val="de-DE"/>
        </w:rPr>
        <w:t xml:space="preserve"> 2</w:t>
      </w:r>
      <w:r w:rsidRPr="004C78FB">
        <w:rPr>
          <w:lang w:val="de-DE"/>
        </w:rPr>
        <w:t xml:space="preserve">Wan-Jane Chen, </w:t>
      </w:r>
      <w:r w:rsidRPr="004C78FB">
        <w:rPr>
          <w:vertAlign w:val="superscript"/>
          <w:lang w:val="de-DE"/>
        </w:rPr>
        <w:t>2</w:t>
      </w:r>
      <w:r w:rsidRPr="004C78FB">
        <w:rPr>
          <w:lang w:val="de-DE"/>
        </w:rPr>
        <w:t xml:space="preserve"> Jung-Tai Chen, </w:t>
      </w:r>
      <w:r w:rsidRPr="004C78FB">
        <w:rPr>
          <w:vertAlign w:val="superscript"/>
          <w:lang w:val="de-DE"/>
        </w:rPr>
        <w:t>3</w:t>
      </w:r>
      <w:r w:rsidRPr="004C78FB">
        <w:rPr>
          <w:lang w:val="de-DE"/>
        </w:rPr>
        <w:t xml:space="preserve">Ming-Fong Tasi, </w:t>
      </w:r>
      <w:r w:rsidRPr="004C78FB">
        <w:rPr>
          <w:vertAlign w:val="superscript"/>
          <w:lang w:val="de-DE"/>
        </w:rPr>
        <w:t>2</w:t>
      </w:r>
      <w:r w:rsidRPr="004C78FB">
        <w:t xml:space="preserve">Chun-Yi Lin, </w:t>
      </w:r>
      <w:r w:rsidRPr="004C78FB">
        <w:rPr>
          <w:vertAlign w:val="superscript"/>
          <w:lang w:val="de-DE"/>
        </w:rPr>
        <w:t>2</w:t>
      </w:r>
      <w:r w:rsidRPr="004C78FB">
        <w:rPr>
          <w:lang w:val="de-DE"/>
        </w:rPr>
        <w:t>Guang-Uei Hung</w:t>
      </w:r>
    </w:p>
    <w:p w14:paraId="082696B9" w14:textId="77777777" w:rsidR="00AC3CF5" w:rsidRDefault="00AC3CF5" w:rsidP="00AC3CF5">
      <w:pPr>
        <w:contextualSpacing/>
        <w:jc w:val="center"/>
      </w:pPr>
      <w:r w:rsidRPr="004C78FB">
        <w:rPr>
          <w:vertAlign w:val="superscript"/>
          <w:lang w:val="de-DE"/>
        </w:rPr>
        <w:t>1</w:t>
      </w:r>
      <w:r w:rsidRPr="004C78FB">
        <w:t>Nuclear Science and Engineering Institute, University of Missouri-Co</w:t>
      </w:r>
      <w:r>
        <w:t>lumbia, Columbia, Missouri, USA</w:t>
      </w:r>
    </w:p>
    <w:p w14:paraId="4B70F134" w14:textId="77777777" w:rsidR="00AC3CF5" w:rsidRPr="004C78FB" w:rsidRDefault="00AC3CF5" w:rsidP="00AC3CF5">
      <w:pPr>
        <w:contextualSpacing/>
        <w:jc w:val="center"/>
      </w:pPr>
      <w:r w:rsidRPr="004C78FB">
        <w:rPr>
          <w:vertAlign w:val="superscript"/>
        </w:rPr>
        <w:t>2</w:t>
      </w:r>
      <w:r w:rsidRPr="004C78FB">
        <w:t>Department of Nuclear Medicine, Show Chwan Memo</w:t>
      </w:r>
      <w:r>
        <w:t>rial Hospital, Changhua, Taiwan</w:t>
      </w:r>
    </w:p>
    <w:p w14:paraId="46E238FD" w14:textId="77777777" w:rsidR="00AC3CF5" w:rsidRDefault="00AC3CF5" w:rsidP="00AC3CF5">
      <w:pPr>
        <w:contextualSpacing/>
        <w:jc w:val="center"/>
      </w:pPr>
      <w:r w:rsidRPr="004C78FB">
        <w:rPr>
          <w:vertAlign w:val="superscript"/>
        </w:rPr>
        <w:t>3</w:t>
      </w:r>
      <w:r w:rsidRPr="004C78FB">
        <w:t xml:space="preserve">Department of Nuclear Medicine, </w:t>
      </w:r>
      <w:smartTag w:uri="urn:schemas-microsoft-com:office:smarttags" w:element="place">
        <w:smartTag w:uri="urn:schemas-microsoft-com:office:smarttags" w:element="PlaceName">
          <w:r w:rsidRPr="004C78FB">
            <w:t>Chia-Yi</w:t>
          </w:r>
        </w:smartTag>
        <w:r w:rsidRPr="004C78FB">
          <w:t xml:space="preserve"> </w:t>
        </w:r>
        <w:smartTag w:uri="urn:schemas-microsoft-com:office:smarttags" w:element="PlaceName">
          <w:r w:rsidRPr="004C78FB">
            <w:t>Chang-Gung</w:t>
          </w:r>
        </w:smartTag>
        <w:r w:rsidRPr="004C78FB">
          <w:t xml:space="preserve"> </w:t>
        </w:r>
        <w:smartTag w:uri="urn:schemas-microsoft-com:office:smarttags" w:element="PlaceName">
          <w:r w:rsidRPr="004C78FB">
            <w:t>Memorial</w:t>
          </w:r>
        </w:smartTag>
        <w:r w:rsidRPr="004C78FB">
          <w:t xml:space="preserve"> </w:t>
        </w:r>
        <w:smartTag w:uri="urn:schemas-microsoft-com:office:smarttags" w:element="PlaceType">
          <w:r w:rsidRPr="004C78FB">
            <w:t>Hospital</w:t>
          </w:r>
        </w:smartTag>
      </w:smartTag>
      <w:r w:rsidRPr="004C78FB">
        <w:t xml:space="preserve">, </w:t>
      </w:r>
      <w:smartTag w:uri="urn:schemas-microsoft-com:office:smarttags" w:element="City">
        <w:r w:rsidRPr="004C78FB">
          <w:t>Chia-Yi</w:t>
        </w:r>
      </w:smartTag>
      <w:r w:rsidRPr="004C78FB">
        <w:t xml:space="preserve"> , Taiwan</w:t>
      </w:r>
    </w:p>
    <w:p w14:paraId="6FB11C0C" w14:textId="77777777" w:rsidR="00AC3CF5" w:rsidRPr="004C78FB" w:rsidRDefault="00AC3CF5" w:rsidP="00AC3CF5">
      <w:pPr>
        <w:contextualSpacing/>
      </w:pPr>
    </w:p>
    <w:p w14:paraId="788DE5E7" w14:textId="77777777" w:rsidR="00AC3CF5" w:rsidRDefault="00AC3CF5" w:rsidP="00AC3CF5">
      <w:pPr>
        <w:jc w:val="both"/>
      </w:pPr>
      <w:r w:rsidRPr="004C78FB">
        <w:rPr>
          <w:b/>
        </w:rPr>
        <w:t xml:space="preserve">Introduction: </w:t>
      </w:r>
      <w:r w:rsidRPr="004C78FB">
        <w:t>Dynamic SPECT (DSPECT) using rapid gantry rotation within 180° arc can provide complete sinogram datasets to perform dynamic 3D recon for measuring time activity cures in myocardium (M) and blood pool (BP). We employed a commercialized dual-head SPECT/CT system (Symbia T2) to absolutely quantify Tc99m activity concentration (AC) in cardiac phantom (CP).</w:t>
      </w:r>
    </w:p>
    <w:p w14:paraId="76B9BE55" w14:textId="5A3BE3DA" w:rsidR="00AC3CF5" w:rsidRPr="00216B3D" w:rsidRDefault="00AC3CF5" w:rsidP="00216B3D">
      <w:pPr>
        <w:jc w:val="both"/>
      </w:pPr>
      <w:r w:rsidRPr="004C78FB">
        <w:rPr>
          <w:b/>
        </w:rPr>
        <w:t>M</w:t>
      </w:r>
      <w:r w:rsidR="00AA59A5">
        <w:rPr>
          <w:b/>
        </w:rPr>
        <w:t>aterial and M</w:t>
      </w:r>
      <w:r w:rsidRPr="004C78FB">
        <w:rPr>
          <w:b/>
        </w:rPr>
        <w:t xml:space="preserve">ethods: </w:t>
      </w:r>
      <w:r w:rsidRPr="004C78FB">
        <w:t xml:space="preserve">A uniform phantom (UP, 2 liter) initially injected in 46.8 mCi Tc99m was scanned with DSPECT to verify </w:t>
      </w:r>
      <w:proofErr w:type="gramStart"/>
      <w:r w:rsidRPr="004C78FB">
        <w:t>dead-time</w:t>
      </w:r>
      <w:proofErr w:type="gramEnd"/>
      <w:r w:rsidRPr="004C78FB">
        <w:t xml:space="preserve"> count lost (DTCL) and to generate a calibration factor (CF) for converting pixel value (PV) to Bq/ml. A CP filled in 22.07 uCi/ml Tc99m in M with cold defects, 4.08 uCi/ml in torso (T) and left ventricle cavity (LVC), was scanned with rapid DSPECT as 15, 30, 60, 90 sec phases and a 900 sec phase from integration of 90 sec phases. All images were reconstructed with corrections for attenuation, scatter, collimator blur, decay and filtered with 10 mm FHWM Gaussian.</w:t>
      </w:r>
    </w:p>
    <w:p w14:paraId="4EC7C6FA" w14:textId="77777777" w:rsidR="00AC3CF5" w:rsidRPr="00216B3D" w:rsidRDefault="00AC3CF5" w:rsidP="00AC3CF5">
      <w:pPr>
        <w:autoSpaceDE w:val="0"/>
        <w:autoSpaceDN w:val="0"/>
        <w:adjustRightInd w:val="0"/>
        <w:jc w:val="both"/>
      </w:pPr>
      <w:r w:rsidRPr="004C78FB">
        <w:rPr>
          <w:b/>
        </w:rPr>
        <w:t xml:space="preserve">Results: </w:t>
      </w:r>
      <w:r w:rsidRPr="004C78FB">
        <w:t xml:space="preserve">In UP, no DTCL was observed up to 150 </w:t>
      </w:r>
      <w:proofErr w:type="spellStart"/>
      <w:r w:rsidRPr="004C78FB">
        <w:t>kCps</w:t>
      </w:r>
      <w:proofErr w:type="spellEnd"/>
      <w:r w:rsidRPr="004C78FB">
        <w:t>. CF generated from slope of PV to AC (PV=335172×AC, R=0.9999) was 335172 (Bq/ml). Compared to true AC, correction coefficient for partial volume in M was 1.828 and 0.906 for spillover in LVC.</w:t>
      </w:r>
    </w:p>
    <w:p w14:paraId="612947A6" w14:textId="77777777" w:rsidR="00AC3CF5" w:rsidRDefault="00AC3CF5" w:rsidP="00AC3CF5">
      <w:pPr>
        <w:autoSpaceDE w:val="0"/>
        <w:autoSpaceDN w:val="0"/>
        <w:adjustRightInd w:val="0"/>
        <w:jc w:val="both"/>
      </w:pPr>
      <w:r w:rsidRPr="004C78FB">
        <w:rPr>
          <w:b/>
        </w:rPr>
        <w:t>Conclusions:</w:t>
      </w:r>
      <w:r w:rsidRPr="004C78FB">
        <w:t xml:space="preserve"> Dynamic SPECT/CT demonstrates the feasibility in absolute quantitation of Tc99m activity in cardiac phantom. Corrections for partial volume effect in myocardium and spillover effect in left ventricle cavity can also be derived from the quantitation process.</w:t>
      </w:r>
    </w:p>
    <w:p w14:paraId="50922772" w14:textId="36910EDA" w:rsidR="00012DDD" w:rsidRPr="007D1C5E" w:rsidRDefault="00AC3CF5" w:rsidP="0064206C">
      <w:pPr>
        <w:numPr>
          <w:ilvl w:val="0"/>
          <w:numId w:val="11"/>
        </w:numPr>
        <w:snapToGrid w:val="0"/>
        <w:spacing w:beforeLines="20" w:before="72" w:line="360" w:lineRule="auto"/>
        <w:rPr>
          <w:rFonts w:eastAsia="標楷體"/>
        </w:rPr>
      </w:pPr>
      <w:r>
        <w:rPr>
          <w:rFonts w:ascii="標楷體" w:eastAsia="標楷體" w:hAnsi="標楷體"/>
        </w:rPr>
        <w:br w:type="page"/>
      </w:r>
      <w:r w:rsidR="00012DDD" w:rsidRPr="0064206C">
        <w:rPr>
          <w:rFonts w:eastAsia="標楷體"/>
          <w:b/>
          <w:bCs/>
          <w:shd w:val="pct15" w:color="auto" w:fill="FFFFFF"/>
        </w:rPr>
        <w:lastRenderedPageBreak/>
        <w:t>中文格式</w:t>
      </w:r>
    </w:p>
    <w:p w14:paraId="1200153C" w14:textId="77777777" w:rsidR="00AC3CF5" w:rsidRPr="008E019C" w:rsidRDefault="00AC3CF5" w:rsidP="00AC3CF5">
      <w:pPr>
        <w:jc w:val="center"/>
        <w:rPr>
          <w:rFonts w:eastAsia="標楷體"/>
        </w:rPr>
      </w:pPr>
      <w:r w:rsidRPr="008E019C">
        <w:rPr>
          <w:rFonts w:eastAsia="標楷體" w:hAnsi="標楷體"/>
        </w:rPr>
        <w:t>以可進行動態快速採集的商品化</w:t>
      </w:r>
      <w:r w:rsidRPr="008E019C">
        <w:rPr>
          <w:rFonts w:eastAsia="標楷體"/>
        </w:rPr>
        <w:t>SPECT/CT</w:t>
      </w:r>
      <w:r w:rsidRPr="008E019C">
        <w:rPr>
          <w:rFonts w:eastAsia="標楷體" w:hAnsi="標楷體"/>
        </w:rPr>
        <w:t>儀器來絕對定量</w:t>
      </w:r>
      <w:proofErr w:type="gramStart"/>
      <w:r w:rsidRPr="008E019C">
        <w:rPr>
          <w:rFonts w:eastAsia="標楷體" w:hAnsi="標楷體"/>
        </w:rPr>
        <w:t>心臟假體中的</w:t>
      </w:r>
      <w:proofErr w:type="gramEnd"/>
      <w:r w:rsidRPr="008E019C">
        <w:rPr>
          <w:rFonts w:eastAsia="標楷體" w:hAnsi="標楷體"/>
        </w:rPr>
        <w:t>鎝</w:t>
      </w:r>
      <w:r w:rsidRPr="008E019C">
        <w:rPr>
          <w:rFonts w:eastAsia="標楷體"/>
        </w:rPr>
        <w:t>-99m</w:t>
      </w:r>
      <w:r w:rsidRPr="008E019C">
        <w:rPr>
          <w:rFonts w:eastAsia="標楷體" w:hAnsi="標楷體"/>
        </w:rPr>
        <w:t>活性</w:t>
      </w:r>
    </w:p>
    <w:p w14:paraId="283B69F4" w14:textId="77777777" w:rsidR="00AC3CF5" w:rsidRPr="00012DDD" w:rsidRDefault="00AC3CF5" w:rsidP="00AC3CF5">
      <w:pPr>
        <w:jc w:val="center"/>
        <w:rPr>
          <w:rFonts w:eastAsia="標楷體" w:hAnsi="標楷體"/>
        </w:rPr>
      </w:pPr>
      <w:r w:rsidRPr="00012DDD">
        <w:rPr>
          <w:rFonts w:eastAsia="標楷體"/>
          <w:vertAlign w:val="superscript"/>
        </w:rPr>
        <w:t>1</w:t>
      </w:r>
      <w:r w:rsidRPr="00012DDD">
        <w:rPr>
          <w:rFonts w:eastAsia="標楷體" w:hAnsi="標楷體"/>
        </w:rPr>
        <w:t>許百靈</w:t>
      </w:r>
      <w:r w:rsidRPr="00012DDD">
        <w:rPr>
          <w:rFonts w:eastAsia="標楷體"/>
        </w:rPr>
        <w:t>、</w:t>
      </w:r>
      <w:r w:rsidRPr="00012DDD">
        <w:rPr>
          <w:rFonts w:eastAsia="標楷體"/>
          <w:vertAlign w:val="superscript"/>
        </w:rPr>
        <w:t>2</w:t>
      </w:r>
      <w:r w:rsidRPr="00012DDD">
        <w:rPr>
          <w:rFonts w:eastAsia="標楷體" w:hAnsi="標楷體"/>
        </w:rPr>
        <w:t>陳婉甄</w:t>
      </w:r>
      <w:r w:rsidRPr="00012DDD">
        <w:rPr>
          <w:rFonts w:eastAsia="標楷體"/>
        </w:rPr>
        <w:t>、</w:t>
      </w:r>
      <w:r w:rsidRPr="00012DDD">
        <w:rPr>
          <w:rFonts w:eastAsia="標楷體"/>
          <w:vertAlign w:val="superscript"/>
        </w:rPr>
        <w:t>2</w:t>
      </w:r>
      <w:r w:rsidRPr="00012DDD">
        <w:rPr>
          <w:rFonts w:eastAsia="標楷體" w:hAnsi="標楷體"/>
        </w:rPr>
        <w:t>陳榮泰</w:t>
      </w:r>
      <w:r w:rsidRPr="00012DDD">
        <w:rPr>
          <w:rFonts w:eastAsia="標楷體"/>
        </w:rPr>
        <w:t>、</w:t>
      </w:r>
      <w:r w:rsidRPr="00012DDD">
        <w:rPr>
          <w:rFonts w:eastAsia="標楷體"/>
          <w:vertAlign w:val="superscript"/>
        </w:rPr>
        <w:t>3</w:t>
      </w:r>
      <w:r w:rsidRPr="00012DDD">
        <w:rPr>
          <w:rFonts w:eastAsia="標楷體" w:hAnsi="標楷體"/>
        </w:rPr>
        <w:t>蔡明峰</w:t>
      </w:r>
      <w:r w:rsidRPr="00012DDD">
        <w:rPr>
          <w:rFonts w:eastAsia="標楷體"/>
        </w:rPr>
        <w:t>、</w:t>
      </w:r>
      <w:r w:rsidRPr="00012DDD">
        <w:rPr>
          <w:rFonts w:eastAsia="標楷體"/>
          <w:vertAlign w:val="superscript"/>
        </w:rPr>
        <w:t>2</w:t>
      </w:r>
      <w:r w:rsidRPr="00012DDD">
        <w:rPr>
          <w:rFonts w:eastAsia="標楷體" w:hAnsi="標楷體"/>
        </w:rPr>
        <w:t>林君怡</w:t>
      </w:r>
      <w:r w:rsidRPr="00012DDD">
        <w:rPr>
          <w:rFonts w:eastAsia="標楷體"/>
        </w:rPr>
        <w:t>、</w:t>
      </w:r>
      <w:r w:rsidRPr="00012DDD">
        <w:rPr>
          <w:rFonts w:eastAsia="標楷體"/>
          <w:vertAlign w:val="superscript"/>
        </w:rPr>
        <w:t>2</w:t>
      </w:r>
      <w:r w:rsidRPr="00012DDD">
        <w:rPr>
          <w:rFonts w:eastAsia="標楷體" w:hAnsi="標楷體"/>
        </w:rPr>
        <w:t>洪光威</w:t>
      </w:r>
    </w:p>
    <w:p w14:paraId="0A5C703D" w14:textId="77777777" w:rsidR="00AC3CF5" w:rsidRPr="008E019C" w:rsidRDefault="00AC3CF5" w:rsidP="00AC3CF5">
      <w:pPr>
        <w:jc w:val="center"/>
        <w:rPr>
          <w:rFonts w:eastAsia="標楷體"/>
        </w:rPr>
      </w:pPr>
    </w:p>
    <w:p w14:paraId="174A894A" w14:textId="77777777" w:rsidR="00AC3CF5" w:rsidRPr="008E019C" w:rsidRDefault="00AC3CF5" w:rsidP="00AC3CF5">
      <w:pPr>
        <w:jc w:val="center"/>
        <w:rPr>
          <w:rFonts w:eastAsia="標楷體"/>
        </w:rPr>
      </w:pPr>
      <w:r w:rsidRPr="008E019C">
        <w:rPr>
          <w:rFonts w:eastAsia="標楷體"/>
          <w:vertAlign w:val="superscript"/>
        </w:rPr>
        <w:t>1</w:t>
      </w:r>
      <w:r w:rsidRPr="008E019C">
        <w:rPr>
          <w:rFonts w:eastAsia="標楷體" w:hAnsi="標楷體"/>
        </w:rPr>
        <w:t>美國密蘇里哥倫比亞大學核子醫學暨核子工程學院</w:t>
      </w:r>
    </w:p>
    <w:p w14:paraId="2181870B" w14:textId="77777777" w:rsidR="00AC3CF5" w:rsidRPr="00012DDD" w:rsidRDefault="00AC3CF5" w:rsidP="00AC3CF5">
      <w:pPr>
        <w:jc w:val="center"/>
        <w:rPr>
          <w:rFonts w:eastAsia="標楷體"/>
        </w:rPr>
      </w:pPr>
      <w:r w:rsidRPr="00012DDD">
        <w:rPr>
          <w:rFonts w:eastAsia="標楷體"/>
          <w:vertAlign w:val="superscript"/>
        </w:rPr>
        <w:t>2</w:t>
      </w:r>
      <w:r w:rsidRPr="00012DDD">
        <w:rPr>
          <w:rFonts w:eastAsia="標楷體" w:hAnsi="標楷體"/>
        </w:rPr>
        <w:t>彰濱秀傳醫院</w:t>
      </w:r>
      <w:r w:rsidRPr="00012DDD">
        <w:rPr>
          <w:rFonts w:eastAsia="標楷體" w:hAnsi="標楷體"/>
        </w:rPr>
        <w:t xml:space="preserve"> </w:t>
      </w:r>
      <w:r w:rsidRPr="00012DDD">
        <w:rPr>
          <w:rFonts w:eastAsia="標楷體" w:hAnsi="標楷體"/>
        </w:rPr>
        <w:t>核子醫學科</w:t>
      </w:r>
    </w:p>
    <w:p w14:paraId="01267C74" w14:textId="77777777" w:rsidR="00AC3CF5" w:rsidRPr="00012DDD" w:rsidRDefault="00AC3CF5" w:rsidP="00AC3CF5">
      <w:pPr>
        <w:jc w:val="center"/>
        <w:rPr>
          <w:rFonts w:eastAsia="標楷體" w:hAnsi="標楷體"/>
        </w:rPr>
      </w:pPr>
      <w:r w:rsidRPr="00012DDD">
        <w:rPr>
          <w:rFonts w:eastAsia="標楷體"/>
          <w:vertAlign w:val="superscript"/>
        </w:rPr>
        <w:t>3</w:t>
      </w:r>
      <w:r w:rsidRPr="00012DDD">
        <w:rPr>
          <w:rFonts w:eastAsia="標楷體" w:hAnsi="標楷體"/>
        </w:rPr>
        <w:t>嘉義長庚紀念醫院</w:t>
      </w:r>
      <w:r w:rsidRPr="00012DDD">
        <w:rPr>
          <w:rFonts w:eastAsia="標楷體" w:hAnsi="標楷體"/>
        </w:rPr>
        <w:t xml:space="preserve"> </w:t>
      </w:r>
      <w:r w:rsidRPr="00012DDD">
        <w:rPr>
          <w:rFonts w:eastAsia="標楷體" w:hAnsi="標楷體"/>
        </w:rPr>
        <w:t>核子醫學科</w:t>
      </w:r>
    </w:p>
    <w:p w14:paraId="3C811E3F" w14:textId="77777777" w:rsidR="00AC3CF5" w:rsidRDefault="00AC3CF5" w:rsidP="00AC3CF5">
      <w:pPr>
        <w:rPr>
          <w:rFonts w:eastAsia="標楷體" w:hAnsi="標楷體"/>
          <w:b/>
        </w:rPr>
      </w:pPr>
    </w:p>
    <w:p w14:paraId="407221E4" w14:textId="00A714B7" w:rsidR="00AC3CF5" w:rsidRPr="00AC3CF5" w:rsidRDefault="005306DD" w:rsidP="00216B3D">
      <w:pPr>
        <w:rPr>
          <w:rFonts w:eastAsia="標楷體"/>
        </w:rPr>
      </w:pPr>
      <w:r>
        <w:rPr>
          <w:rFonts w:eastAsia="標楷體" w:hAnsi="標楷體" w:hint="eastAsia"/>
          <w:b/>
        </w:rPr>
        <w:t>背景</w:t>
      </w:r>
      <w:r w:rsidR="00AC3CF5" w:rsidRPr="008E019C">
        <w:rPr>
          <w:rFonts w:eastAsia="標楷體" w:hAnsi="標楷體"/>
          <w:b/>
        </w:rPr>
        <w:t>介</w:t>
      </w:r>
      <w:r>
        <w:rPr>
          <w:rFonts w:eastAsia="標楷體" w:hAnsi="標楷體" w:hint="eastAsia"/>
          <w:b/>
        </w:rPr>
        <w:t>紹</w:t>
      </w:r>
      <w:r w:rsidR="00AC3CF5" w:rsidRPr="008E019C">
        <w:rPr>
          <w:rFonts w:eastAsia="標楷體"/>
          <w:b/>
        </w:rPr>
        <w:t>:</w:t>
      </w:r>
      <w:r w:rsidR="00AC3CF5" w:rsidRPr="008E019C">
        <w:rPr>
          <w:rFonts w:eastAsia="標楷體"/>
        </w:rPr>
        <w:t xml:space="preserve"> </w:t>
      </w:r>
      <w:r w:rsidR="00AC3CF5" w:rsidRPr="008E019C">
        <w:rPr>
          <w:rFonts w:eastAsia="標楷體" w:hAnsi="標楷體"/>
        </w:rPr>
        <w:t>以動態單光子掃描</w:t>
      </w:r>
      <w:r w:rsidR="00AC3CF5" w:rsidRPr="008E019C">
        <w:rPr>
          <w:rFonts w:eastAsia="標楷體"/>
        </w:rPr>
        <w:t>(DSPECT)</w:t>
      </w:r>
      <w:r w:rsidR="00AC3CF5" w:rsidRPr="008E019C">
        <w:rPr>
          <w:rFonts w:eastAsia="標楷體" w:hAnsi="標楷體"/>
        </w:rPr>
        <w:t>進行快速一百八十度採集可獲得完整的動態</w:t>
      </w:r>
      <w:r w:rsidR="00AC3CF5" w:rsidRPr="001558D1">
        <w:rPr>
          <w:rStyle w:val="shorttext"/>
          <w:rFonts w:eastAsia="標楷體" w:hAnsi="標楷體"/>
          <w:color w:val="000000"/>
        </w:rPr>
        <w:t>正弦圖來進行三維重建</w:t>
      </w:r>
      <w:r w:rsidR="00AC3CF5" w:rsidRPr="001558D1">
        <w:rPr>
          <w:rStyle w:val="shorttext"/>
          <w:rFonts w:eastAsia="標楷體"/>
          <w:color w:val="000000"/>
        </w:rPr>
        <w:t xml:space="preserve">, </w:t>
      </w:r>
      <w:r w:rsidR="00AC3CF5" w:rsidRPr="001558D1">
        <w:rPr>
          <w:rStyle w:val="shorttext"/>
          <w:rFonts w:eastAsia="標楷體" w:hAnsi="標楷體"/>
          <w:color w:val="000000"/>
        </w:rPr>
        <w:t>來測量在心肌和血泊的時間動態曲線圖</w:t>
      </w:r>
      <w:r w:rsidR="00AC3CF5">
        <w:rPr>
          <w:rStyle w:val="shorttext"/>
          <w:rFonts w:eastAsia="標楷體"/>
          <w:color w:val="000000"/>
        </w:rPr>
        <w:t>。</w:t>
      </w:r>
      <w:r w:rsidR="00AC3CF5" w:rsidRPr="001558D1">
        <w:rPr>
          <w:rStyle w:val="shorttext"/>
          <w:rFonts w:eastAsia="標楷體" w:hAnsi="標楷體"/>
          <w:color w:val="000000"/>
        </w:rPr>
        <w:t>我們運用一台現有的商品化雙探頭</w:t>
      </w:r>
      <w:r w:rsidR="00AC3CF5" w:rsidRPr="001558D1">
        <w:rPr>
          <w:rStyle w:val="shorttext"/>
          <w:rFonts w:eastAsia="標楷體"/>
          <w:color w:val="000000"/>
        </w:rPr>
        <w:t>SPECT/CT</w:t>
      </w:r>
      <w:r w:rsidR="00AC3CF5" w:rsidRPr="001558D1">
        <w:rPr>
          <w:rStyle w:val="shorttext"/>
          <w:rFonts w:eastAsia="標楷體" w:hAnsi="標楷體"/>
          <w:color w:val="000000"/>
        </w:rPr>
        <w:t>系統</w:t>
      </w:r>
      <w:r w:rsidR="00AC3CF5" w:rsidRPr="001558D1">
        <w:rPr>
          <w:rStyle w:val="shorttext"/>
          <w:rFonts w:eastAsia="標楷體"/>
          <w:color w:val="000000"/>
        </w:rPr>
        <w:t>(Symbia T2)</w:t>
      </w:r>
      <w:r w:rsidR="00AC3CF5" w:rsidRPr="001558D1">
        <w:rPr>
          <w:rStyle w:val="shorttext"/>
          <w:rFonts w:eastAsia="標楷體" w:hAnsi="標楷體"/>
          <w:color w:val="000000"/>
        </w:rPr>
        <w:t>來絕對定量</w:t>
      </w:r>
      <w:r w:rsidR="00AC3CF5" w:rsidRPr="001558D1">
        <w:rPr>
          <w:rFonts w:eastAsia="標楷體" w:hAnsi="標楷體"/>
        </w:rPr>
        <w:t>心臟假體內的塔</w:t>
      </w:r>
      <w:r w:rsidR="00AC3CF5" w:rsidRPr="001558D1">
        <w:rPr>
          <w:rFonts w:eastAsia="標楷體"/>
        </w:rPr>
        <w:t>-99m</w:t>
      </w:r>
      <w:r w:rsidR="00AC3CF5" w:rsidRPr="001558D1">
        <w:rPr>
          <w:rFonts w:eastAsia="標楷體" w:hAnsi="標楷體"/>
        </w:rPr>
        <w:t>活性</w:t>
      </w:r>
      <w:r w:rsidR="00AC3CF5">
        <w:rPr>
          <w:rFonts w:eastAsia="標楷體"/>
        </w:rPr>
        <w:t>。</w:t>
      </w:r>
    </w:p>
    <w:p w14:paraId="2741D4A7" w14:textId="77777777" w:rsidR="00F86067" w:rsidRDefault="005F51FD" w:rsidP="00F86067">
      <w:pPr>
        <w:jc w:val="both"/>
        <w:rPr>
          <w:rFonts w:eastAsia="標楷體"/>
        </w:rPr>
      </w:pPr>
      <w:r w:rsidRPr="005F51FD">
        <w:rPr>
          <w:rFonts w:eastAsia="標楷體" w:hAnsi="標楷體" w:hint="eastAsia"/>
          <w:b/>
        </w:rPr>
        <w:t>材料</w:t>
      </w:r>
      <w:r w:rsidR="00AC3CF5" w:rsidRPr="008E019C">
        <w:rPr>
          <w:rFonts w:eastAsia="標楷體" w:hAnsi="標楷體"/>
          <w:b/>
        </w:rPr>
        <w:t>方法</w:t>
      </w:r>
      <w:r w:rsidR="00AC3CF5" w:rsidRPr="008E019C">
        <w:rPr>
          <w:rFonts w:eastAsia="標楷體"/>
          <w:b/>
        </w:rPr>
        <w:t>:</w:t>
      </w:r>
      <w:r w:rsidR="00AC3CF5" w:rsidRPr="008E019C">
        <w:rPr>
          <w:rFonts w:eastAsia="標楷體"/>
        </w:rPr>
        <w:t xml:space="preserve"> </w:t>
      </w:r>
      <w:r w:rsidR="00AC3CF5" w:rsidRPr="008E019C">
        <w:rPr>
          <w:rFonts w:eastAsia="標楷體" w:hAnsi="標楷體"/>
        </w:rPr>
        <w:t>一個兩公升均勻</w:t>
      </w:r>
      <w:proofErr w:type="gramStart"/>
      <w:r w:rsidR="00AC3CF5" w:rsidRPr="008E019C">
        <w:rPr>
          <w:rFonts w:eastAsia="標楷體" w:hAnsi="標楷體"/>
        </w:rPr>
        <w:t>假體剛</w:t>
      </w:r>
      <w:proofErr w:type="gramEnd"/>
      <w:r w:rsidR="00AC3CF5" w:rsidRPr="008E019C">
        <w:rPr>
          <w:rFonts w:eastAsia="標楷體" w:hAnsi="標楷體"/>
        </w:rPr>
        <w:t>開始先予以注射</w:t>
      </w:r>
      <w:r w:rsidR="00AC3CF5" w:rsidRPr="008E019C">
        <w:rPr>
          <w:rFonts w:eastAsia="標楷體"/>
        </w:rPr>
        <w:t xml:space="preserve">46.8 </w:t>
      </w:r>
      <w:r w:rsidR="00AC3CF5" w:rsidRPr="008E019C">
        <w:rPr>
          <w:rFonts w:eastAsia="標楷體" w:hAnsi="標楷體"/>
        </w:rPr>
        <w:t>毫西</w:t>
      </w:r>
      <w:proofErr w:type="gramStart"/>
      <w:r w:rsidR="00AC3CF5" w:rsidRPr="008E019C">
        <w:rPr>
          <w:rFonts w:eastAsia="標楷體" w:hAnsi="標楷體"/>
        </w:rPr>
        <w:t>弗</w:t>
      </w:r>
      <w:proofErr w:type="gramEnd"/>
      <w:r w:rsidR="00AC3CF5" w:rsidRPr="008E019C">
        <w:rPr>
          <w:rFonts w:eastAsia="標楷體" w:hAnsi="標楷體"/>
        </w:rPr>
        <w:t>的塔</w:t>
      </w:r>
      <w:r w:rsidR="00AC3CF5" w:rsidRPr="008E019C">
        <w:rPr>
          <w:rFonts w:eastAsia="標楷體"/>
        </w:rPr>
        <w:t xml:space="preserve">-99m, </w:t>
      </w:r>
      <w:r w:rsidR="00AC3CF5" w:rsidRPr="008E019C">
        <w:rPr>
          <w:rFonts w:eastAsia="標楷體" w:hAnsi="標楷體"/>
        </w:rPr>
        <w:t>並且以動態</w:t>
      </w:r>
      <w:r w:rsidR="00AC3CF5" w:rsidRPr="008E019C">
        <w:rPr>
          <w:rFonts w:eastAsia="標楷體"/>
        </w:rPr>
        <w:t>SPECT</w:t>
      </w:r>
      <w:r w:rsidR="00AC3CF5" w:rsidRPr="008E019C">
        <w:rPr>
          <w:rFonts w:eastAsia="標楷體" w:hAnsi="標楷體"/>
        </w:rPr>
        <w:t>掃描來</w:t>
      </w:r>
      <w:proofErr w:type="gramStart"/>
      <w:r w:rsidR="00AC3CF5" w:rsidRPr="008E019C">
        <w:rPr>
          <w:rFonts w:eastAsia="標楷體" w:hAnsi="標楷體"/>
        </w:rPr>
        <w:t>測量死區時間</w:t>
      </w:r>
      <w:proofErr w:type="gramEnd"/>
      <w:r w:rsidR="00AC3CF5" w:rsidRPr="008E019C">
        <w:rPr>
          <w:rFonts w:eastAsia="標楷體" w:hAnsi="標楷體"/>
        </w:rPr>
        <w:t>所造成的计數損失並產生一個校正係數來將像素值轉換成</w:t>
      </w:r>
      <w:r w:rsidR="00AC3CF5" w:rsidRPr="008E019C">
        <w:rPr>
          <w:rFonts w:eastAsia="標楷體"/>
        </w:rPr>
        <w:t>(</w:t>
      </w:r>
      <w:r w:rsidR="00AC3CF5" w:rsidRPr="008E019C">
        <w:rPr>
          <w:rFonts w:eastAsia="標楷體" w:hAnsi="標楷體"/>
        </w:rPr>
        <w:t>貝克</w:t>
      </w:r>
      <w:r w:rsidR="00AC3CF5" w:rsidRPr="008E019C">
        <w:rPr>
          <w:rFonts w:eastAsia="標楷體"/>
        </w:rPr>
        <w:t>/</w:t>
      </w:r>
      <w:r w:rsidR="00AC3CF5" w:rsidRPr="008E019C">
        <w:rPr>
          <w:rFonts w:eastAsia="標楷體" w:hAnsi="標楷體"/>
        </w:rPr>
        <w:t>毫升</w:t>
      </w:r>
      <w:r w:rsidR="00AC3CF5" w:rsidRPr="008E019C">
        <w:rPr>
          <w:rFonts w:eastAsia="標楷體"/>
        </w:rPr>
        <w:t>)</w:t>
      </w:r>
      <w:r w:rsidR="00AC3CF5" w:rsidRPr="008E019C">
        <w:rPr>
          <w:rFonts w:eastAsia="標楷體" w:hAnsi="標楷體"/>
        </w:rPr>
        <w:t>單位</w:t>
      </w:r>
      <w:r w:rsidR="00AC3CF5" w:rsidRPr="008E019C">
        <w:rPr>
          <w:rFonts w:eastAsia="標楷體"/>
        </w:rPr>
        <w:t xml:space="preserve">. </w:t>
      </w:r>
      <w:r w:rsidR="00AC3CF5" w:rsidRPr="008E019C">
        <w:rPr>
          <w:rFonts w:eastAsia="標楷體" w:hAnsi="標楷體"/>
        </w:rPr>
        <w:t>一個</w:t>
      </w:r>
      <w:proofErr w:type="gramStart"/>
      <w:r w:rsidR="00AC3CF5" w:rsidRPr="008E019C">
        <w:rPr>
          <w:rFonts w:eastAsia="標楷體" w:hAnsi="標楷體"/>
        </w:rPr>
        <w:t>心臟假體</w:t>
      </w:r>
      <w:proofErr w:type="gramEnd"/>
      <w:r w:rsidR="00AC3CF5" w:rsidRPr="008E019C">
        <w:rPr>
          <w:rFonts w:eastAsia="標楷體"/>
        </w:rPr>
        <w:t xml:space="preserve">, </w:t>
      </w:r>
      <w:r w:rsidR="00AC3CF5" w:rsidRPr="008E019C">
        <w:rPr>
          <w:rFonts w:eastAsia="標楷體" w:hAnsi="標楷體"/>
        </w:rPr>
        <w:t>先在其心臟予以注射</w:t>
      </w:r>
      <w:r w:rsidR="00AC3CF5" w:rsidRPr="008E019C">
        <w:rPr>
          <w:rFonts w:eastAsia="標楷體"/>
        </w:rPr>
        <w:t xml:space="preserve">22.07 </w:t>
      </w:r>
      <w:r w:rsidR="00AC3CF5" w:rsidRPr="008E019C">
        <w:rPr>
          <w:rFonts w:eastAsia="標楷體" w:hAnsi="標楷體"/>
        </w:rPr>
        <w:t>毫西</w:t>
      </w:r>
      <w:proofErr w:type="gramStart"/>
      <w:r w:rsidR="00AC3CF5" w:rsidRPr="008E019C">
        <w:rPr>
          <w:rFonts w:eastAsia="標楷體" w:hAnsi="標楷體"/>
        </w:rPr>
        <w:t>弗</w:t>
      </w:r>
      <w:proofErr w:type="gramEnd"/>
      <w:r w:rsidR="00AC3CF5" w:rsidRPr="008E019C">
        <w:rPr>
          <w:rFonts w:eastAsia="標楷體"/>
        </w:rPr>
        <w:t>/</w:t>
      </w:r>
      <w:r w:rsidR="00AC3CF5" w:rsidRPr="008E019C">
        <w:rPr>
          <w:rFonts w:eastAsia="標楷體" w:hAnsi="標楷體"/>
        </w:rPr>
        <w:t>毫升的濃度</w:t>
      </w:r>
      <w:r w:rsidR="00AC3CF5" w:rsidRPr="008E019C">
        <w:rPr>
          <w:rFonts w:eastAsia="標楷體"/>
        </w:rPr>
        <w:t>,</w:t>
      </w:r>
      <w:r w:rsidR="00AC3CF5">
        <w:rPr>
          <w:rFonts w:eastAsia="標楷體" w:hAnsi="標楷體"/>
        </w:rPr>
        <w:t xml:space="preserve"> </w:t>
      </w:r>
      <w:r w:rsidR="00AC3CF5" w:rsidRPr="008E019C">
        <w:rPr>
          <w:rFonts w:eastAsia="標楷體" w:hAnsi="標楷體"/>
        </w:rPr>
        <w:t>在其血泊和左心房予以</w:t>
      </w:r>
      <w:r w:rsidR="00AC3CF5" w:rsidRPr="008E019C">
        <w:rPr>
          <w:rFonts w:eastAsia="標楷體"/>
        </w:rPr>
        <w:t xml:space="preserve">4.08 </w:t>
      </w:r>
      <w:r w:rsidR="00AC3CF5" w:rsidRPr="008E019C">
        <w:rPr>
          <w:rFonts w:eastAsia="標楷體" w:hAnsi="標楷體"/>
        </w:rPr>
        <w:t>毫西</w:t>
      </w:r>
      <w:proofErr w:type="gramStart"/>
      <w:r w:rsidR="00AC3CF5" w:rsidRPr="008E019C">
        <w:rPr>
          <w:rFonts w:eastAsia="標楷體" w:hAnsi="標楷體"/>
        </w:rPr>
        <w:t>弗</w:t>
      </w:r>
      <w:proofErr w:type="gramEnd"/>
      <w:r w:rsidR="00AC3CF5" w:rsidRPr="008E019C">
        <w:rPr>
          <w:rFonts w:eastAsia="標楷體"/>
        </w:rPr>
        <w:t>/</w:t>
      </w:r>
      <w:r w:rsidR="00AC3CF5" w:rsidRPr="008E019C">
        <w:rPr>
          <w:rFonts w:eastAsia="標楷體" w:hAnsi="標楷體"/>
        </w:rPr>
        <w:t>毫升的濃度</w:t>
      </w:r>
      <w:r w:rsidR="00AC3CF5" w:rsidRPr="008E019C">
        <w:rPr>
          <w:rFonts w:eastAsia="標楷體"/>
        </w:rPr>
        <w:t>,</w:t>
      </w:r>
      <w:r w:rsidR="00AC3CF5">
        <w:rPr>
          <w:rFonts w:eastAsia="標楷體" w:hAnsi="標楷體"/>
        </w:rPr>
        <w:t xml:space="preserve"> </w:t>
      </w:r>
      <w:r w:rsidR="00AC3CF5" w:rsidRPr="008E019C">
        <w:rPr>
          <w:rFonts w:eastAsia="標楷體" w:hAnsi="標楷體"/>
        </w:rPr>
        <w:t>並以快速動態</w:t>
      </w:r>
      <w:r w:rsidR="00AC3CF5" w:rsidRPr="008E019C">
        <w:rPr>
          <w:rFonts w:eastAsia="標楷體"/>
        </w:rPr>
        <w:t>SPECT</w:t>
      </w:r>
      <w:r w:rsidR="00AC3CF5" w:rsidRPr="008E019C">
        <w:rPr>
          <w:rFonts w:eastAsia="標楷體" w:hAnsi="標楷體"/>
        </w:rPr>
        <w:t>採集</w:t>
      </w:r>
      <w:r w:rsidR="00AC3CF5" w:rsidRPr="008E019C">
        <w:rPr>
          <w:rFonts w:eastAsia="標楷體"/>
        </w:rPr>
        <w:t>15, 30, 60, 90</w:t>
      </w:r>
      <w:r w:rsidR="00AC3CF5" w:rsidRPr="008E019C">
        <w:rPr>
          <w:rFonts w:eastAsia="標楷體" w:hAnsi="標楷體"/>
        </w:rPr>
        <w:t>秒和十個</w:t>
      </w:r>
      <w:r w:rsidR="00AC3CF5" w:rsidRPr="008E019C">
        <w:rPr>
          <w:rFonts w:eastAsia="標楷體"/>
        </w:rPr>
        <w:t>90</w:t>
      </w:r>
      <w:r w:rsidR="00AC3CF5" w:rsidRPr="008E019C">
        <w:rPr>
          <w:rFonts w:eastAsia="標楷體" w:hAnsi="標楷體"/>
        </w:rPr>
        <w:t>秒</w:t>
      </w:r>
      <w:r w:rsidR="00AC3CF5" w:rsidRPr="008E019C">
        <w:rPr>
          <w:rFonts w:eastAsia="標楷體"/>
        </w:rPr>
        <w:t>(</w:t>
      </w:r>
      <w:r w:rsidR="00AC3CF5" w:rsidRPr="008E019C">
        <w:rPr>
          <w:rFonts w:eastAsia="標楷體" w:hAnsi="標楷體"/>
        </w:rPr>
        <w:t>共</w:t>
      </w:r>
      <w:r w:rsidR="00AC3CF5" w:rsidRPr="008E019C">
        <w:rPr>
          <w:rFonts w:eastAsia="標楷體"/>
        </w:rPr>
        <w:t>900</w:t>
      </w:r>
      <w:r w:rsidR="00AC3CF5" w:rsidRPr="008E019C">
        <w:rPr>
          <w:rFonts w:eastAsia="標楷體" w:hAnsi="標楷體"/>
        </w:rPr>
        <w:t>秒</w:t>
      </w:r>
      <w:r w:rsidR="00AC3CF5" w:rsidRPr="008E019C">
        <w:rPr>
          <w:rFonts w:eastAsia="標楷體"/>
        </w:rPr>
        <w:t>)</w:t>
      </w:r>
      <w:r w:rsidR="00AC3CF5" w:rsidRPr="008E019C">
        <w:rPr>
          <w:rFonts w:eastAsia="標楷體" w:hAnsi="標楷體"/>
        </w:rPr>
        <w:t>的</w:t>
      </w:r>
      <w:r w:rsidR="00AC3CF5" w:rsidRPr="008E019C">
        <w:rPr>
          <w:rStyle w:val="shorttext"/>
          <w:rFonts w:eastAsia="標楷體" w:hAnsi="標楷體"/>
          <w:color w:val="000000"/>
          <w:shd w:val="clear" w:color="auto" w:fill="EBEFF9"/>
        </w:rPr>
        <w:t>正弦圖</w:t>
      </w:r>
      <w:r w:rsidR="00AC3CF5" w:rsidRPr="008E019C">
        <w:rPr>
          <w:rFonts w:eastAsia="標楷體"/>
        </w:rPr>
        <w:t>,</w:t>
      </w:r>
      <w:r w:rsidR="00AC3CF5">
        <w:rPr>
          <w:rFonts w:eastAsia="標楷體" w:hAnsi="標楷體"/>
        </w:rPr>
        <w:t xml:space="preserve"> </w:t>
      </w:r>
      <w:r w:rsidR="00AC3CF5" w:rsidRPr="008E019C">
        <w:rPr>
          <w:rFonts w:eastAsia="標楷體" w:hAnsi="標楷體"/>
        </w:rPr>
        <w:t>所有的影像重建均加上衰減修正</w:t>
      </w:r>
      <w:r w:rsidR="00AC3CF5" w:rsidRPr="008E019C">
        <w:rPr>
          <w:rFonts w:eastAsia="標楷體"/>
        </w:rPr>
        <w:t>,</w:t>
      </w:r>
      <w:r w:rsidR="00AC3CF5">
        <w:rPr>
          <w:rFonts w:eastAsia="標楷體" w:hAnsi="標楷體"/>
        </w:rPr>
        <w:t xml:space="preserve"> </w:t>
      </w:r>
      <w:r w:rsidR="00AC3CF5" w:rsidRPr="008E019C">
        <w:rPr>
          <w:rFonts w:eastAsia="標楷體" w:hAnsi="標楷體"/>
        </w:rPr>
        <w:t>散射修正</w:t>
      </w:r>
      <w:r w:rsidR="00AC3CF5" w:rsidRPr="008E019C">
        <w:rPr>
          <w:rFonts w:eastAsia="標楷體"/>
        </w:rPr>
        <w:t>,</w:t>
      </w:r>
      <w:r w:rsidR="00AC3CF5">
        <w:rPr>
          <w:rFonts w:eastAsia="標楷體" w:hAnsi="標楷體"/>
        </w:rPr>
        <w:t xml:space="preserve"> </w:t>
      </w:r>
      <w:proofErr w:type="gramStart"/>
      <w:r w:rsidR="00AC3CF5" w:rsidRPr="008E019C">
        <w:rPr>
          <w:rFonts w:eastAsia="標楷體" w:hAnsi="標楷體"/>
        </w:rPr>
        <w:t>準值儀</w:t>
      </w:r>
      <w:proofErr w:type="gramEnd"/>
      <w:r w:rsidR="00AC3CF5" w:rsidRPr="008E019C">
        <w:rPr>
          <w:rFonts w:eastAsia="標楷體" w:hAnsi="標楷體"/>
        </w:rPr>
        <w:t>模糊修正</w:t>
      </w:r>
      <w:r w:rsidR="00AC3CF5" w:rsidRPr="008E019C">
        <w:rPr>
          <w:rFonts w:eastAsia="標楷體"/>
        </w:rPr>
        <w:t>,</w:t>
      </w:r>
      <w:r w:rsidR="00AC3CF5">
        <w:rPr>
          <w:rFonts w:eastAsia="標楷體" w:hAnsi="標楷體"/>
        </w:rPr>
        <w:t xml:space="preserve"> </w:t>
      </w:r>
      <w:r w:rsidR="00AC3CF5" w:rsidRPr="008E019C">
        <w:rPr>
          <w:rFonts w:eastAsia="標楷體" w:hAnsi="標楷體"/>
        </w:rPr>
        <w:t>衰變修正</w:t>
      </w:r>
      <w:r w:rsidR="00AC3CF5" w:rsidRPr="008E019C">
        <w:rPr>
          <w:rFonts w:eastAsia="標楷體"/>
        </w:rPr>
        <w:t xml:space="preserve">, </w:t>
      </w:r>
      <w:r w:rsidR="00AC3CF5" w:rsidRPr="008E019C">
        <w:rPr>
          <w:rFonts w:eastAsia="標楷體" w:hAnsi="標楷體"/>
        </w:rPr>
        <w:t>並且以</w:t>
      </w:r>
      <w:r w:rsidR="00AC3CF5" w:rsidRPr="008E019C">
        <w:rPr>
          <w:rFonts w:eastAsia="標楷體"/>
        </w:rPr>
        <w:t>10</w:t>
      </w:r>
      <w:proofErr w:type="gramStart"/>
      <w:r w:rsidR="00AC3CF5" w:rsidRPr="008E019C">
        <w:rPr>
          <w:rFonts w:eastAsia="標楷體" w:hAnsi="標楷體"/>
        </w:rPr>
        <w:t>離米的</w:t>
      </w:r>
      <w:proofErr w:type="gramEnd"/>
      <w:r w:rsidR="00AC3CF5" w:rsidRPr="008E019C">
        <w:rPr>
          <w:rFonts w:eastAsia="標楷體" w:hAnsi="標楷體"/>
        </w:rPr>
        <w:t>高斯做噪音過濾</w:t>
      </w:r>
      <w:r w:rsidR="00AC3CF5" w:rsidRPr="008E019C">
        <w:rPr>
          <w:rFonts w:eastAsia="標楷體"/>
        </w:rPr>
        <w:t>.</w:t>
      </w:r>
    </w:p>
    <w:p w14:paraId="13EFB117" w14:textId="77777777" w:rsidR="00F86067" w:rsidRDefault="00AC3CF5" w:rsidP="00F86067">
      <w:pPr>
        <w:jc w:val="both"/>
        <w:rPr>
          <w:rFonts w:eastAsia="標楷體"/>
        </w:rPr>
      </w:pPr>
      <w:r w:rsidRPr="008E019C">
        <w:rPr>
          <w:rFonts w:eastAsia="標楷體" w:hAnsi="標楷體"/>
          <w:b/>
        </w:rPr>
        <w:t>結果</w:t>
      </w:r>
      <w:r w:rsidRPr="008E019C">
        <w:rPr>
          <w:rFonts w:eastAsia="標楷體"/>
          <w:b/>
        </w:rPr>
        <w:t>:</w:t>
      </w:r>
      <w:r w:rsidRPr="008E019C">
        <w:rPr>
          <w:rFonts w:eastAsia="標楷體"/>
        </w:rPr>
        <w:t xml:space="preserve"> </w:t>
      </w:r>
      <w:r w:rsidRPr="008E019C">
        <w:rPr>
          <w:rFonts w:eastAsia="標楷體" w:hAnsi="標楷體"/>
        </w:rPr>
        <w:t>直到</w:t>
      </w:r>
      <w:r w:rsidRPr="008E019C">
        <w:rPr>
          <w:rFonts w:eastAsia="標楷體"/>
        </w:rPr>
        <w:t>15</w:t>
      </w:r>
      <w:r w:rsidRPr="008E019C">
        <w:rPr>
          <w:rFonts w:eastAsia="標楷體" w:hAnsi="標楷體"/>
        </w:rPr>
        <w:t>萬</w:t>
      </w:r>
      <w:r w:rsidRPr="008E019C">
        <w:rPr>
          <w:rFonts w:eastAsia="標楷體"/>
        </w:rPr>
        <w:t>(</w:t>
      </w:r>
      <w:r w:rsidRPr="008E019C">
        <w:rPr>
          <w:rFonts w:eastAsia="標楷體" w:hAnsi="標楷體"/>
        </w:rPr>
        <w:t>衰變</w:t>
      </w:r>
      <w:r w:rsidRPr="008E019C">
        <w:rPr>
          <w:rFonts w:eastAsia="標楷體"/>
        </w:rPr>
        <w:t>/</w:t>
      </w:r>
      <w:r w:rsidRPr="008E019C">
        <w:rPr>
          <w:rFonts w:eastAsia="標楷體" w:hAnsi="標楷體"/>
        </w:rPr>
        <w:t>每秒</w:t>
      </w:r>
      <w:r w:rsidRPr="008E019C">
        <w:rPr>
          <w:rFonts w:eastAsia="標楷體"/>
        </w:rPr>
        <w:t xml:space="preserve">), </w:t>
      </w:r>
      <w:proofErr w:type="gramStart"/>
      <w:r w:rsidRPr="008E019C">
        <w:rPr>
          <w:rFonts w:eastAsia="標楷體" w:hAnsi="標楷體"/>
        </w:rPr>
        <w:t>均勻假體的</w:t>
      </w:r>
      <w:proofErr w:type="gramEnd"/>
      <w:r w:rsidRPr="008E019C">
        <w:rPr>
          <w:rFonts w:eastAsia="標楷體" w:hAnsi="標楷體"/>
        </w:rPr>
        <w:t>實驗並沒有觀察到计數損失的問題</w:t>
      </w:r>
      <w:r w:rsidRPr="008E019C">
        <w:rPr>
          <w:rFonts w:eastAsia="標楷體"/>
        </w:rPr>
        <w:t xml:space="preserve">, </w:t>
      </w:r>
      <w:r w:rsidRPr="008E019C">
        <w:rPr>
          <w:rFonts w:eastAsia="標楷體" w:hAnsi="標楷體"/>
        </w:rPr>
        <w:t>從像素值相對活性濃度斜率所產生的校正係數是</w:t>
      </w:r>
      <w:r w:rsidRPr="008E019C">
        <w:rPr>
          <w:rFonts w:eastAsia="標楷體"/>
        </w:rPr>
        <w:t>335127 (</w:t>
      </w:r>
      <w:r w:rsidRPr="008E019C">
        <w:rPr>
          <w:rFonts w:eastAsia="標楷體" w:hAnsi="標楷體"/>
        </w:rPr>
        <w:t>貝克</w:t>
      </w:r>
      <w:r w:rsidRPr="008E019C">
        <w:rPr>
          <w:rFonts w:eastAsia="標楷體"/>
        </w:rPr>
        <w:t>/</w:t>
      </w:r>
      <w:r w:rsidRPr="008E019C">
        <w:rPr>
          <w:rFonts w:eastAsia="標楷體" w:hAnsi="標楷體"/>
        </w:rPr>
        <w:t>毫升</w:t>
      </w:r>
      <w:r w:rsidRPr="008E019C">
        <w:rPr>
          <w:rFonts w:eastAsia="標楷體"/>
        </w:rPr>
        <w:t xml:space="preserve">). </w:t>
      </w:r>
      <w:r w:rsidRPr="008E019C">
        <w:rPr>
          <w:rFonts w:eastAsia="標楷體" w:hAnsi="標楷體"/>
        </w:rPr>
        <w:t>跟實際濃度互相做比較後</w:t>
      </w:r>
      <w:r w:rsidRPr="008E019C">
        <w:rPr>
          <w:rFonts w:eastAsia="標楷體"/>
        </w:rPr>
        <w:t xml:space="preserve">, </w:t>
      </w:r>
      <w:r w:rsidRPr="008E019C">
        <w:rPr>
          <w:rFonts w:eastAsia="標楷體" w:hAnsi="標楷體"/>
        </w:rPr>
        <w:t>次體積效應的校正係數是</w:t>
      </w:r>
      <w:r w:rsidRPr="008E019C">
        <w:rPr>
          <w:rFonts w:eastAsia="標楷體"/>
        </w:rPr>
        <w:t xml:space="preserve">1.828, </w:t>
      </w:r>
      <w:r w:rsidRPr="008E019C">
        <w:rPr>
          <w:rFonts w:eastAsia="標楷體" w:hAnsi="標楷體"/>
        </w:rPr>
        <w:t>而外益效應的校正係數是</w:t>
      </w:r>
      <w:r w:rsidRPr="008E019C">
        <w:rPr>
          <w:rFonts w:eastAsia="標楷體"/>
        </w:rPr>
        <w:t>0.906.</w:t>
      </w:r>
    </w:p>
    <w:p w14:paraId="0AD6C05C" w14:textId="4D1E0697" w:rsidR="00AC3CF5" w:rsidRPr="00AC3CF5" w:rsidRDefault="00AC3CF5" w:rsidP="00F86067">
      <w:pPr>
        <w:jc w:val="both"/>
        <w:rPr>
          <w:rFonts w:ascii="標楷體" w:eastAsia="標楷體" w:hAnsi="標楷體"/>
        </w:rPr>
      </w:pPr>
      <w:r w:rsidRPr="008E019C">
        <w:rPr>
          <w:rFonts w:eastAsia="標楷體" w:hAnsi="標楷體"/>
          <w:b/>
        </w:rPr>
        <w:t>結論</w:t>
      </w:r>
      <w:r w:rsidRPr="008E019C">
        <w:rPr>
          <w:rFonts w:eastAsia="標楷體"/>
          <w:b/>
        </w:rPr>
        <w:t>:</w:t>
      </w:r>
      <w:r w:rsidRPr="008E019C">
        <w:rPr>
          <w:rFonts w:eastAsia="標楷體"/>
        </w:rPr>
        <w:t xml:space="preserve"> </w:t>
      </w:r>
      <w:r w:rsidRPr="008E019C">
        <w:rPr>
          <w:rFonts w:eastAsia="標楷體" w:hAnsi="標楷體"/>
        </w:rPr>
        <w:t>動態</w:t>
      </w:r>
      <w:r w:rsidRPr="008E019C">
        <w:rPr>
          <w:rFonts w:eastAsia="標楷體"/>
        </w:rPr>
        <w:t>SPECT/CT</w:t>
      </w:r>
      <w:r w:rsidRPr="008E019C">
        <w:rPr>
          <w:rFonts w:eastAsia="標楷體" w:hAnsi="標楷體"/>
        </w:rPr>
        <w:t>的方法學通過</w:t>
      </w:r>
      <w:proofErr w:type="gramStart"/>
      <w:r w:rsidRPr="008E019C">
        <w:rPr>
          <w:rFonts w:eastAsia="標楷體" w:hAnsi="標楷體"/>
        </w:rPr>
        <w:t>心臟假體實驗</w:t>
      </w:r>
      <w:proofErr w:type="gramEnd"/>
      <w:r w:rsidRPr="008E019C">
        <w:rPr>
          <w:rFonts w:eastAsia="標楷體"/>
        </w:rPr>
        <w:t xml:space="preserve">, </w:t>
      </w:r>
      <w:r w:rsidRPr="008E019C">
        <w:rPr>
          <w:rFonts w:eastAsia="標楷體" w:hAnsi="標楷體"/>
        </w:rPr>
        <w:t>展示了絕對定量鎝</w:t>
      </w:r>
      <w:r w:rsidRPr="008E019C">
        <w:rPr>
          <w:rFonts w:eastAsia="標楷體"/>
        </w:rPr>
        <w:t>-99m</w:t>
      </w:r>
      <w:r w:rsidRPr="008E019C">
        <w:rPr>
          <w:rFonts w:eastAsia="標楷體" w:hAnsi="標楷體"/>
        </w:rPr>
        <w:t>活性的可行性</w:t>
      </w:r>
      <w:r w:rsidRPr="008E019C">
        <w:rPr>
          <w:rFonts w:eastAsia="標楷體"/>
        </w:rPr>
        <w:t xml:space="preserve">, </w:t>
      </w:r>
      <w:r w:rsidRPr="008E019C">
        <w:rPr>
          <w:rFonts w:eastAsia="標楷體" w:hAnsi="標楷體"/>
        </w:rPr>
        <w:t>對於體積效應和心肌在左心室</w:t>
      </w:r>
      <w:proofErr w:type="gramStart"/>
      <w:r w:rsidRPr="008E019C">
        <w:rPr>
          <w:rFonts w:eastAsia="標楷體" w:hAnsi="標楷體"/>
        </w:rPr>
        <w:t>的外益效應</w:t>
      </w:r>
      <w:proofErr w:type="gramEnd"/>
      <w:r w:rsidRPr="008E019C">
        <w:rPr>
          <w:rFonts w:eastAsia="標楷體" w:hAnsi="標楷體"/>
        </w:rPr>
        <w:t>也可以在絕對定量過程中加以修正</w:t>
      </w:r>
      <w:r w:rsidRPr="008E019C">
        <w:rPr>
          <w:rFonts w:eastAsia="標楷體"/>
        </w:rPr>
        <w:t>.</w:t>
      </w:r>
    </w:p>
    <w:sectPr w:rsidR="00AC3CF5" w:rsidRPr="00AC3CF5" w:rsidSect="002F66FF">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F247B" w14:textId="77777777" w:rsidR="003A60A0" w:rsidRDefault="003A60A0" w:rsidP="00463BBB">
      <w:r>
        <w:separator/>
      </w:r>
    </w:p>
  </w:endnote>
  <w:endnote w:type="continuationSeparator" w:id="0">
    <w:p w14:paraId="7BA35488" w14:textId="77777777" w:rsidR="003A60A0" w:rsidRDefault="003A60A0" w:rsidP="0046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7D43" w14:textId="77777777" w:rsidR="003A60A0" w:rsidRDefault="003A60A0" w:rsidP="00463BBB">
      <w:r>
        <w:separator/>
      </w:r>
    </w:p>
  </w:footnote>
  <w:footnote w:type="continuationSeparator" w:id="0">
    <w:p w14:paraId="3697C828" w14:textId="77777777" w:rsidR="003A60A0" w:rsidRDefault="003A60A0" w:rsidP="00463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80289"/>
    <w:multiLevelType w:val="hybridMultilevel"/>
    <w:tmpl w:val="E73A4F8E"/>
    <w:lvl w:ilvl="0" w:tplc="04090001">
      <w:start w:val="1"/>
      <w:numFmt w:val="bullet"/>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7D9690B"/>
    <w:multiLevelType w:val="hybridMultilevel"/>
    <w:tmpl w:val="AAAC20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E0D6BB3"/>
    <w:multiLevelType w:val="hybridMultilevel"/>
    <w:tmpl w:val="8E0E34F4"/>
    <w:lvl w:ilvl="0" w:tplc="0409000F">
      <w:start w:val="1"/>
      <w:numFmt w:val="decimal"/>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1052FC0"/>
    <w:multiLevelType w:val="multilevel"/>
    <w:tmpl w:val="2A846E80"/>
    <w:lvl w:ilvl="0">
      <w:start w:val="1"/>
      <w:numFmt w:val="taiwaneseCountingThousand"/>
      <w:lvlText w:val="%1、"/>
      <w:lvlJc w:val="left"/>
      <w:pPr>
        <w:tabs>
          <w:tab w:val="num" w:pos="480"/>
        </w:tabs>
        <w:ind w:left="480" w:hanging="480"/>
      </w:pPr>
      <w:rPr>
        <w:rFonts w:eastAsia="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42980DBE"/>
    <w:multiLevelType w:val="multilevel"/>
    <w:tmpl w:val="50DA3906"/>
    <w:lvl w:ilvl="0">
      <w:start w:val="1"/>
      <w:numFmt w:val="taiwaneseCountingThousand"/>
      <w:lvlText w:val="%1、"/>
      <w:lvlJc w:val="left"/>
      <w:pPr>
        <w:tabs>
          <w:tab w:val="num" w:pos="480"/>
        </w:tabs>
        <w:ind w:left="480" w:hanging="480"/>
      </w:pPr>
      <w:rPr>
        <w:rFonts w:ascii="標楷體" w:eastAsia="標楷體" w:hAnsi="標楷體"/>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49661EC5"/>
    <w:multiLevelType w:val="multilevel"/>
    <w:tmpl w:val="705AC514"/>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5002264B"/>
    <w:multiLevelType w:val="hybridMultilevel"/>
    <w:tmpl w:val="4D04EE54"/>
    <w:lvl w:ilvl="0" w:tplc="DB82B218">
      <w:start w:val="1"/>
      <w:numFmt w:val="taiwaneseCountingThousand"/>
      <w:lvlText w:val="%1、"/>
      <w:lvlJc w:val="left"/>
      <w:pPr>
        <w:tabs>
          <w:tab w:val="num" w:pos="480"/>
        </w:tabs>
        <w:ind w:left="480" w:hanging="48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1684DDE"/>
    <w:multiLevelType w:val="hybridMultilevel"/>
    <w:tmpl w:val="B0AADA86"/>
    <w:lvl w:ilvl="0" w:tplc="DB82B218">
      <w:start w:val="1"/>
      <w:numFmt w:val="taiwaneseCountingThousand"/>
      <w:lvlText w:val="%1、"/>
      <w:lvlJc w:val="left"/>
      <w:pPr>
        <w:tabs>
          <w:tab w:val="num" w:pos="480"/>
        </w:tabs>
        <w:ind w:left="480" w:hanging="480"/>
      </w:pPr>
      <w:rPr>
        <w:rFonts w:ascii="標楷體" w:eastAsia="標楷體" w:hAnsi="標楷體"/>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112D0C"/>
    <w:multiLevelType w:val="hybridMultilevel"/>
    <w:tmpl w:val="CA440A4E"/>
    <w:lvl w:ilvl="0" w:tplc="DB82B218">
      <w:start w:val="1"/>
      <w:numFmt w:val="taiwaneseCountingThousand"/>
      <w:lvlText w:val="%1、"/>
      <w:lvlJc w:val="left"/>
      <w:pPr>
        <w:tabs>
          <w:tab w:val="num" w:pos="480"/>
        </w:tabs>
        <w:ind w:left="480" w:hanging="480"/>
      </w:pPr>
      <w:rPr>
        <w:rFonts w:ascii="標楷體" w:eastAsia="標楷體" w:hAnsi="標楷體"/>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C2423FF"/>
    <w:multiLevelType w:val="hybridMultilevel"/>
    <w:tmpl w:val="732E233A"/>
    <w:lvl w:ilvl="0" w:tplc="DB82B218">
      <w:start w:val="1"/>
      <w:numFmt w:val="taiwaneseCountingThousand"/>
      <w:lvlText w:val="%1、"/>
      <w:lvlJc w:val="left"/>
      <w:pPr>
        <w:tabs>
          <w:tab w:val="num" w:pos="480"/>
        </w:tabs>
        <w:ind w:left="480" w:hanging="480"/>
      </w:pPr>
      <w:rPr>
        <w:rFonts w:ascii="標楷體" w:eastAsia="標楷體" w:hAnsi="標楷體"/>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5754CE4"/>
    <w:multiLevelType w:val="hybridMultilevel"/>
    <w:tmpl w:val="FA8EA62E"/>
    <w:lvl w:ilvl="0" w:tplc="DB82B218">
      <w:start w:val="1"/>
      <w:numFmt w:val="taiwaneseCountingThousand"/>
      <w:lvlText w:val="%1、"/>
      <w:lvlJc w:val="left"/>
      <w:pPr>
        <w:tabs>
          <w:tab w:val="num" w:pos="480"/>
        </w:tabs>
        <w:ind w:left="480" w:hanging="480"/>
      </w:pPr>
      <w:rPr>
        <w:rFonts w:ascii="標楷體" w:eastAsia="標楷體" w:hAnsi="標楷體"/>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433234928">
    <w:abstractNumId w:val="2"/>
  </w:num>
  <w:num w:numId="2" w16cid:durableId="1326283033">
    <w:abstractNumId w:val="7"/>
  </w:num>
  <w:num w:numId="3" w16cid:durableId="83653069">
    <w:abstractNumId w:val="4"/>
  </w:num>
  <w:num w:numId="4" w16cid:durableId="123542077">
    <w:abstractNumId w:val="10"/>
  </w:num>
  <w:num w:numId="5" w16cid:durableId="1449154679">
    <w:abstractNumId w:val="9"/>
  </w:num>
  <w:num w:numId="6" w16cid:durableId="139006541">
    <w:abstractNumId w:val="8"/>
  </w:num>
  <w:num w:numId="7" w16cid:durableId="1127160790">
    <w:abstractNumId w:val="6"/>
  </w:num>
  <w:num w:numId="8" w16cid:durableId="247539241">
    <w:abstractNumId w:val="5"/>
  </w:num>
  <w:num w:numId="9" w16cid:durableId="942997722">
    <w:abstractNumId w:val="3"/>
  </w:num>
  <w:num w:numId="10" w16cid:durableId="1442454617">
    <w:abstractNumId w:val="0"/>
  </w:num>
  <w:num w:numId="11" w16cid:durableId="839582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1022"/>
    <w:rsid w:val="00002F92"/>
    <w:rsid w:val="00012DDD"/>
    <w:rsid w:val="0002322F"/>
    <w:rsid w:val="00031429"/>
    <w:rsid w:val="00042AB4"/>
    <w:rsid w:val="00042FCB"/>
    <w:rsid w:val="00056FD8"/>
    <w:rsid w:val="000665D1"/>
    <w:rsid w:val="000A1193"/>
    <w:rsid w:val="000B58A3"/>
    <w:rsid w:val="00110066"/>
    <w:rsid w:val="00126EF4"/>
    <w:rsid w:val="0012782D"/>
    <w:rsid w:val="0015186F"/>
    <w:rsid w:val="001558D1"/>
    <w:rsid w:val="001648B5"/>
    <w:rsid w:val="0016611B"/>
    <w:rsid w:val="00171DDE"/>
    <w:rsid w:val="00174D3F"/>
    <w:rsid w:val="0018739F"/>
    <w:rsid w:val="001A4467"/>
    <w:rsid w:val="001A774D"/>
    <w:rsid w:val="001B4DBA"/>
    <w:rsid w:val="001C295E"/>
    <w:rsid w:val="001E142B"/>
    <w:rsid w:val="001F2865"/>
    <w:rsid w:val="00200848"/>
    <w:rsid w:val="002033A4"/>
    <w:rsid w:val="00216B3D"/>
    <w:rsid w:val="00234FDB"/>
    <w:rsid w:val="00256D3E"/>
    <w:rsid w:val="002622BA"/>
    <w:rsid w:val="002741AF"/>
    <w:rsid w:val="0028796D"/>
    <w:rsid w:val="00290225"/>
    <w:rsid w:val="002B10B3"/>
    <w:rsid w:val="002B4A98"/>
    <w:rsid w:val="002B501D"/>
    <w:rsid w:val="002D7F4E"/>
    <w:rsid w:val="002E0DE0"/>
    <w:rsid w:val="002F66FF"/>
    <w:rsid w:val="00303B95"/>
    <w:rsid w:val="00310620"/>
    <w:rsid w:val="00341022"/>
    <w:rsid w:val="003444DC"/>
    <w:rsid w:val="003519E0"/>
    <w:rsid w:val="0036343D"/>
    <w:rsid w:val="0037795D"/>
    <w:rsid w:val="0039614C"/>
    <w:rsid w:val="003A60A0"/>
    <w:rsid w:val="003C6391"/>
    <w:rsid w:val="003E560E"/>
    <w:rsid w:val="003E5DE5"/>
    <w:rsid w:val="003F5DDB"/>
    <w:rsid w:val="00401A1C"/>
    <w:rsid w:val="00405655"/>
    <w:rsid w:val="00407A2A"/>
    <w:rsid w:val="00413598"/>
    <w:rsid w:val="004175DF"/>
    <w:rsid w:val="00422F3B"/>
    <w:rsid w:val="004464CC"/>
    <w:rsid w:val="00463BBB"/>
    <w:rsid w:val="00471FDA"/>
    <w:rsid w:val="004773CA"/>
    <w:rsid w:val="00484ABC"/>
    <w:rsid w:val="004C1214"/>
    <w:rsid w:val="004C78FB"/>
    <w:rsid w:val="004D4DCB"/>
    <w:rsid w:val="004D691F"/>
    <w:rsid w:val="004E2ACF"/>
    <w:rsid w:val="00526CA7"/>
    <w:rsid w:val="005306DD"/>
    <w:rsid w:val="00546E4D"/>
    <w:rsid w:val="00574072"/>
    <w:rsid w:val="0057587E"/>
    <w:rsid w:val="00577007"/>
    <w:rsid w:val="005D75D1"/>
    <w:rsid w:val="005E42C1"/>
    <w:rsid w:val="005E4921"/>
    <w:rsid w:val="005F3B42"/>
    <w:rsid w:val="005F4798"/>
    <w:rsid w:val="005F4C24"/>
    <w:rsid w:val="005F51FD"/>
    <w:rsid w:val="0064206C"/>
    <w:rsid w:val="00652792"/>
    <w:rsid w:val="0066329D"/>
    <w:rsid w:val="006A2273"/>
    <w:rsid w:val="006A63EA"/>
    <w:rsid w:val="006A6897"/>
    <w:rsid w:val="006B1AF7"/>
    <w:rsid w:val="006C0422"/>
    <w:rsid w:val="006C2989"/>
    <w:rsid w:val="006E0C09"/>
    <w:rsid w:val="006E3656"/>
    <w:rsid w:val="006E61E2"/>
    <w:rsid w:val="007068EE"/>
    <w:rsid w:val="0070753F"/>
    <w:rsid w:val="00716968"/>
    <w:rsid w:val="0075046C"/>
    <w:rsid w:val="0077013D"/>
    <w:rsid w:val="00776B1D"/>
    <w:rsid w:val="00782084"/>
    <w:rsid w:val="007B5C7F"/>
    <w:rsid w:val="007D1C5E"/>
    <w:rsid w:val="007D560D"/>
    <w:rsid w:val="008003E8"/>
    <w:rsid w:val="0081522E"/>
    <w:rsid w:val="00866632"/>
    <w:rsid w:val="008824A9"/>
    <w:rsid w:val="008918F2"/>
    <w:rsid w:val="008E019C"/>
    <w:rsid w:val="008E5B23"/>
    <w:rsid w:val="00902EC9"/>
    <w:rsid w:val="00920BBA"/>
    <w:rsid w:val="009267D7"/>
    <w:rsid w:val="00931DBE"/>
    <w:rsid w:val="00950538"/>
    <w:rsid w:val="0097199F"/>
    <w:rsid w:val="00972674"/>
    <w:rsid w:val="00983D22"/>
    <w:rsid w:val="009D5BED"/>
    <w:rsid w:val="00A31B37"/>
    <w:rsid w:val="00A448DD"/>
    <w:rsid w:val="00A975AE"/>
    <w:rsid w:val="00AA59A5"/>
    <w:rsid w:val="00AB27D4"/>
    <w:rsid w:val="00AC2604"/>
    <w:rsid w:val="00AC3CF5"/>
    <w:rsid w:val="00AC6339"/>
    <w:rsid w:val="00AD3714"/>
    <w:rsid w:val="00AD68BA"/>
    <w:rsid w:val="00B0137B"/>
    <w:rsid w:val="00B01892"/>
    <w:rsid w:val="00B042E4"/>
    <w:rsid w:val="00B462EF"/>
    <w:rsid w:val="00B61AAA"/>
    <w:rsid w:val="00BE09C7"/>
    <w:rsid w:val="00BE5468"/>
    <w:rsid w:val="00C12FF0"/>
    <w:rsid w:val="00C251F4"/>
    <w:rsid w:val="00C37BD5"/>
    <w:rsid w:val="00C5658E"/>
    <w:rsid w:val="00C56EAA"/>
    <w:rsid w:val="00C56EFB"/>
    <w:rsid w:val="00CD150E"/>
    <w:rsid w:val="00CD39FD"/>
    <w:rsid w:val="00D0089A"/>
    <w:rsid w:val="00D50F40"/>
    <w:rsid w:val="00D62859"/>
    <w:rsid w:val="00D71ED9"/>
    <w:rsid w:val="00D90113"/>
    <w:rsid w:val="00DB0BB2"/>
    <w:rsid w:val="00DD2E26"/>
    <w:rsid w:val="00DF45E9"/>
    <w:rsid w:val="00E00F69"/>
    <w:rsid w:val="00E00FA6"/>
    <w:rsid w:val="00E23787"/>
    <w:rsid w:val="00E76003"/>
    <w:rsid w:val="00EB485F"/>
    <w:rsid w:val="00ED7315"/>
    <w:rsid w:val="00F13412"/>
    <w:rsid w:val="00F14A3B"/>
    <w:rsid w:val="00F1610C"/>
    <w:rsid w:val="00F216D8"/>
    <w:rsid w:val="00F86067"/>
    <w:rsid w:val="00F91B28"/>
    <w:rsid w:val="00FA0A1F"/>
    <w:rsid w:val="00FF379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AEC9FBA"/>
  <w15:chartTrackingRefBased/>
  <w15:docId w15:val="{6DE13232-74C2-4503-97B9-D2ACB357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95E"/>
    <w:pPr>
      <w:widowControl w:val="0"/>
    </w:pPr>
    <w:rPr>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C295E"/>
    <w:rPr>
      <w:sz w:val="18"/>
    </w:rPr>
  </w:style>
  <w:style w:type="paragraph" w:styleId="2">
    <w:name w:val="Body Text 2"/>
    <w:basedOn w:val="a"/>
    <w:rsid w:val="001C295E"/>
    <w:pPr>
      <w:spacing w:beforeLines="50"/>
    </w:pPr>
    <w:rPr>
      <w:sz w:val="20"/>
    </w:rPr>
  </w:style>
  <w:style w:type="character" w:styleId="a4">
    <w:name w:val="Hyperlink"/>
    <w:rsid w:val="001B4DBA"/>
    <w:rPr>
      <w:color w:val="0000FF"/>
      <w:u w:val="single"/>
    </w:rPr>
  </w:style>
  <w:style w:type="paragraph" w:styleId="a5">
    <w:name w:val="header"/>
    <w:basedOn w:val="a"/>
    <w:link w:val="a6"/>
    <w:rsid w:val="00463BBB"/>
    <w:pPr>
      <w:tabs>
        <w:tab w:val="center" w:pos="4153"/>
        <w:tab w:val="right" w:pos="8306"/>
      </w:tabs>
      <w:snapToGrid w:val="0"/>
    </w:pPr>
    <w:rPr>
      <w:sz w:val="20"/>
      <w:szCs w:val="20"/>
      <w:lang w:val="x-none" w:eastAsia="x-none"/>
    </w:rPr>
  </w:style>
  <w:style w:type="character" w:customStyle="1" w:styleId="a6">
    <w:name w:val="頁首 字元"/>
    <w:link w:val="a5"/>
    <w:rsid w:val="00463BBB"/>
    <w:rPr>
      <w:kern w:val="2"/>
    </w:rPr>
  </w:style>
  <w:style w:type="paragraph" w:styleId="a7">
    <w:name w:val="footer"/>
    <w:basedOn w:val="a"/>
    <w:link w:val="a8"/>
    <w:rsid w:val="00463BBB"/>
    <w:pPr>
      <w:tabs>
        <w:tab w:val="center" w:pos="4153"/>
        <w:tab w:val="right" w:pos="8306"/>
      </w:tabs>
      <w:snapToGrid w:val="0"/>
    </w:pPr>
    <w:rPr>
      <w:sz w:val="20"/>
      <w:szCs w:val="20"/>
      <w:lang w:val="x-none" w:eastAsia="x-none"/>
    </w:rPr>
  </w:style>
  <w:style w:type="character" w:customStyle="1" w:styleId="a8">
    <w:name w:val="頁尾 字元"/>
    <w:link w:val="a7"/>
    <w:rsid w:val="00463BBB"/>
    <w:rPr>
      <w:kern w:val="2"/>
    </w:rPr>
  </w:style>
  <w:style w:type="table" w:styleId="a9">
    <w:name w:val="Table Grid"/>
    <w:basedOn w:val="a1"/>
    <w:uiPriority w:val="59"/>
    <w:rsid w:val="000B58A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546E4D"/>
    <w:rPr>
      <w:rFonts w:ascii="Tahoma" w:hAnsi="Tahoma"/>
      <w:sz w:val="16"/>
      <w:szCs w:val="16"/>
      <w:lang w:val="x-none" w:eastAsia="x-none"/>
    </w:rPr>
  </w:style>
  <w:style w:type="character" w:customStyle="1" w:styleId="ab">
    <w:name w:val="註解方塊文字 字元"/>
    <w:link w:val="aa"/>
    <w:rsid w:val="00546E4D"/>
    <w:rPr>
      <w:rFonts w:ascii="Tahoma" w:hAnsi="Tahoma" w:cs="Tahoma"/>
      <w:kern w:val="2"/>
      <w:sz w:val="16"/>
      <w:szCs w:val="16"/>
    </w:rPr>
  </w:style>
  <w:style w:type="character" w:customStyle="1" w:styleId="apple-style-span">
    <w:name w:val="apple-style-span"/>
    <w:basedOn w:val="a0"/>
    <w:rsid w:val="001A4467"/>
  </w:style>
  <w:style w:type="character" w:customStyle="1" w:styleId="shorttext">
    <w:name w:val="short_text"/>
    <w:basedOn w:val="a0"/>
    <w:rsid w:val="00C12FF0"/>
  </w:style>
  <w:style w:type="character" w:styleId="ac">
    <w:name w:val="annotation reference"/>
    <w:semiHidden/>
    <w:rsid w:val="00D62859"/>
    <w:rPr>
      <w:sz w:val="18"/>
      <w:szCs w:val="18"/>
    </w:rPr>
  </w:style>
  <w:style w:type="paragraph" w:styleId="ad">
    <w:name w:val="annotation text"/>
    <w:basedOn w:val="a"/>
    <w:semiHidden/>
    <w:rsid w:val="00D62859"/>
  </w:style>
  <w:style w:type="paragraph" w:styleId="ae">
    <w:name w:val="annotation subject"/>
    <w:basedOn w:val="ad"/>
    <w:next w:val="ad"/>
    <w:semiHidden/>
    <w:rsid w:val="00D628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202566">
      <w:bodyDiv w:val="1"/>
      <w:marLeft w:val="0"/>
      <w:marRight w:val="0"/>
      <w:marTop w:val="0"/>
      <w:marBottom w:val="0"/>
      <w:divBdr>
        <w:top w:val="none" w:sz="0" w:space="0" w:color="auto"/>
        <w:left w:val="none" w:sz="0" w:space="0" w:color="auto"/>
        <w:bottom w:val="none" w:sz="0" w:space="0" w:color="auto"/>
        <w:right w:val="none" w:sz="0" w:space="0" w:color="auto"/>
      </w:divBdr>
    </w:div>
    <w:div w:id="19146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中華民國核醫學學會年度學術研討會摘要稿紙</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中華民國核醫學學會年度學術研討會摘要稿紙</dc:title>
  <dc:subject/>
  <dc:creator>IBM98se</dc:creator>
  <cp:keywords/>
  <cp:lastModifiedBy>胡蓮欣</cp:lastModifiedBy>
  <cp:revision>9</cp:revision>
  <cp:lastPrinted>2003-07-14T19:07:00Z</cp:lastPrinted>
  <dcterms:created xsi:type="dcterms:W3CDTF">2023-07-24T16:29:00Z</dcterms:created>
  <dcterms:modified xsi:type="dcterms:W3CDTF">2025-05-12T07:33:00Z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42b9f7af15dbf88b01a7672ac73c1eee76246e8aaf0b74c922e8c8dc1654f138</vt:lpwstr>
  </property>
</Properties>
</file>